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7A2489">
      <w:pPr>
        <w:pStyle w:val="2"/>
        <w:ind w:left="0" w:leftChars="0" w:firstLine="0" w:firstLineChars="0"/>
        <w:jc w:val="center"/>
        <w:rPr>
          <w:rFonts w:hint="eastAsia" w:ascii="Times New Roman" w:hAnsi="Times New Roman" w:eastAsia="宋体" w:cs="Times New Roman"/>
          <w:b/>
          <w:bCs/>
          <w:color w:val="auto"/>
          <w:sz w:val="32"/>
          <w:szCs w:val="32"/>
          <w:lang w:val="en-US" w:eastAsia="zh-CN"/>
        </w:rPr>
      </w:pPr>
      <w:r>
        <w:rPr>
          <w:rFonts w:hint="eastAsia" w:ascii="Times New Roman" w:hAnsi="Times New Roman" w:eastAsia="宋体" w:cs="Times New Roman"/>
          <w:b/>
          <w:bCs/>
          <w:color w:val="auto"/>
          <w:sz w:val="32"/>
          <w:szCs w:val="32"/>
          <w:lang w:val="en-US" w:eastAsia="zh-CN"/>
        </w:rPr>
        <w:t>关于自贡市赛鹏电线电缆有限公司</w:t>
      </w:r>
    </w:p>
    <w:p w14:paraId="225C1331">
      <w:pPr>
        <w:pStyle w:val="2"/>
        <w:ind w:left="0" w:leftChars="0" w:firstLine="0" w:firstLineChars="0"/>
        <w:jc w:val="center"/>
        <w:rPr>
          <w:rFonts w:hint="default" w:ascii="Times New Roman" w:hAnsi="Times New Roman" w:eastAsia="宋体" w:cs="Times New Roman"/>
          <w:b/>
          <w:bCs/>
          <w:color w:val="auto"/>
          <w:sz w:val="32"/>
          <w:szCs w:val="32"/>
          <w:lang w:val="en-US" w:eastAsia="zh-CN"/>
        </w:rPr>
      </w:pPr>
      <w:r>
        <w:rPr>
          <w:rFonts w:hint="eastAsia" w:ascii="Times New Roman" w:hAnsi="Times New Roman" w:eastAsia="宋体" w:cs="Times New Roman"/>
          <w:b/>
          <w:bCs/>
          <w:color w:val="auto"/>
          <w:sz w:val="32"/>
          <w:szCs w:val="32"/>
          <w:lang w:val="en-US" w:eastAsia="zh-CN"/>
        </w:rPr>
        <w:t>地块土壤污染状况初步调查</w:t>
      </w:r>
      <w:r>
        <w:rPr>
          <w:rFonts w:hint="default" w:ascii="Times New Roman" w:hAnsi="Times New Roman" w:eastAsia="宋体" w:cs="Times New Roman"/>
          <w:b/>
          <w:bCs/>
          <w:color w:val="auto"/>
          <w:sz w:val="32"/>
          <w:szCs w:val="32"/>
          <w:lang w:val="en-US" w:eastAsia="zh-CN"/>
        </w:rPr>
        <w:t>公示</w:t>
      </w:r>
    </w:p>
    <w:p w14:paraId="40CFD909">
      <w:pPr>
        <w:numPr>
          <w:ilvl w:val="0"/>
          <w:numId w:val="0"/>
        </w:numPr>
        <w:ind w:firstLine="562" w:firstLineChars="200"/>
        <w:jc w:val="left"/>
        <w:rPr>
          <w:rFonts w:hint="eastAsia" w:ascii="Times New Roman" w:hAnsi="Times New Roman" w:cs="Times New Roman"/>
          <w:b/>
          <w:bCs/>
          <w:color w:val="auto"/>
          <w:kern w:val="2"/>
          <w:sz w:val="28"/>
          <w:szCs w:val="28"/>
          <w:vertAlign w:val="baseline"/>
          <w:lang w:val="en-US" w:eastAsia="zh-CN" w:bidi="ar-SA"/>
        </w:rPr>
      </w:pPr>
      <w:r>
        <w:rPr>
          <w:rFonts w:hint="eastAsia" w:ascii="Times New Roman" w:hAnsi="Times New Roman" w:cs="Times New Roman"/>
          <w:b/>
          <w:bCs/>
          <w:color w:val="auto"/>
          <w:kern w:val="2"/>
          <w:sz w:val="28"/>
          <w:szCs w:val="28"/>
          <w:vertAlign w:val="baseline"/>
          <w:lang w:val="en-US" w:eastAsia="zh-CN" w:bidi="ar-SA"/>
        </w:rPr>
        <w:t>一、地块概况</w:t>
      </w:r>
    </w:p>
    <w:p w14:paraId="77869DC5">
      <w:pPr>
        <w:pageBreakBefore w:val="0"/>
        <w:numPr>
          <w:ilvl w:val="0"/>
          <w:numId w:val="0"/>
        </w:numPr>
        <w:kinsoku/>
        <w:wordWrap/>
        <w:overflowPunct/>
        <w:topLinePunct w:val="0"/>
        <w:bidi w:val="0"/>
        <w:adjustRightInd/>
        <w:ind w:firstLine="560" w:firstLineChars="200"/>
        <w:jc w:val="both"/>
        <w:rPr>
          <w:rFonts w:hint="default" w:ascii="Times New Roman" w:hAnsi="Times New Roman" w:eastAsia="宋体" w:cs="Times New Roman"/>
          <w:b w:val="0"/>
          <w:bCs w:val="0"/>
          <w:sz w:val="28"/>
          <w:szCs w:val="28"/>
          <w:vertAlign w:val="baseline"/>
          <w:lang w:val="en-US" w:eastAsia="zh-CN"/>
        </w:rPr>
      </w:pPr>
      <w:r>
        <w:rPr>
          <w:rFonts w:hint="default" w:ascii="Times New Roman" w:hAnsi="Times New Roman" w:eastAsia="宋体" w:cs="Times New Roman"/>
          <w:b w:val="0"/>
          <w:bCs w:val="0"/>
          <w:sz w:val="28"/>
          <w:szCs w:val="28"/>
          <w:vertAlign w:val="baseline"/>
          <w:lang w:val="en-US" w:eastAsia="zh-CN"/>
        </w:rPr>
        <w:t>自贡市赛鹏电线电缆有限公司地块位于四川省自贡市富顺县富世镇宋渡路北段4号，总占地面积9701.39m</w:t>
      </w:r>
      <w:r>
        <w:rPr>
          <w:rFonts w:hint="default" w:ascii="Times New Roman" w:hAnsi="Times New Roman" w:eastAsia="宋体" w:cs="Times New Roman"/>
          <w:b w:val="0"/>
          <w:bCs w:val="0"/>
          <w:sz w:val="28"/>
          <w:szCs w:val="28"/>
          <w:vertAlign w:val="superscript"/>
          <w:lang w:val="en-US" w:eastAsia="zh-CN"/>
        </w:rPr>
        <w:t>2</w:t>
      </w:r>
      <w:r>
        <w:rPr>
          <w:rFonts w:hint="eastAsia" w:ascii="Times New Roman" w:hAnsi="Times New Roman" w:eastAsia="宋体" w:cs="Times New Roman"/>
          <w:b w:val="0"/>
          <w:bCs w:val="0"/>
          <w:sz w:val="28"/>
          <w:szCs w:val="28"/>
          <w:vertAlign w:val="baseline"/>
          <w:lang w:val="en-US" w:eastAsia="zh-CN"/>
        </w:rPr>
        <w:t>，</w:t>
      </w:r>
      <w:r>
        <w:rPr>
          <w:rFonts w:hint="default" w:ascii="Times New Roman" w:hAnsi="Times New Roman" w:eastAsia="宋体" w:cs="Times New Roman"/>
          <w:b w:val="0"/>
          <w:bCs w:val="0"/>
          <w:sz w:val="28"/>
          <w:szCs w:val="28"/>
          <w:vertAlign w:val="baseline"/>
          <w:lang w:val="en-US" w:eastAsia="zh-CN"/>
        </w:rPr>
        <w:t>目前自贡市赛鹏电线电缆有限公司已搬迁至新厂区生产。根据《四川富顺晨光经济开发区总体规划》（2021-2035），自贡市赛鹏电线电缆有限公司地块所属区域规划为商住用地，属于居住用地，为第一类建设用地。</w:t>
      </w:r>
    </w:p>
    <w:p w14:paraId="584412D6">
      <w:pPr>
        <w:pageBreakBefore w:val="0"/>
        <w:numPr>
          <w:ilvl w:val="0"/>
          <w:numId w:val="0"/>
        </w:numPr>
        <w:kinsoku/>
        <w:wordWrap/>
        <w:overflowPunct/>
        <w:topLinePunct w:val="0"/>
        <w:bidi w:val="0"/>
        <w:adjustRightInd/>
        <w:ind w:firstLine="560" w:firstLineChars="200"/>
        <w:jc w:val="both"/>
        <w:rPr>
          <w:rFonts w:hint="default" w:ascii="Times New Roman" w:hAnsi="Times New Roman" w:eastAsia="宋体" w:cs="Times New Roman"/>
          <w:b w:val="0"/>
          <w:bCs w:val="0"/>
          <w:sz w:val="28"/>
          <w:szCs w:val="28"/>
          <w:vertAlign w:val="baseline"/>
          <w:lang w:val="en-US" w:eastAsia="zh-CN"/>
        </w:rPr>
      </w:pPr>
      <w:r>
        <w:rPr>
          <w:rFonts w:hint="default" w:ascii="Times New Roman" w:hAnsi="Times New Roman" w:eastAsia="宋体" w:cs="Times New Roman"/>
          <w:b w:val="0"/>
          <w:bCs w:val="0"/>
          <w:sz w:val="28"/>
          <w:szCs w:val="28"/>
          <w:vertAlign w:val="baseline"/>
          <w:lang w:val="en-US" w:eastAsia="zh-CN"/>
        </w:rPr>
        <w:t>根据《中华人民共和国土壤污染防治法》中第五十九条：“对土壤污染状况普查、详查和监测、现场检查表明有土壤污染风险的建设用地地块，地方人民政府生态环境主管部门应当要求土地使用权人按照规定进行土壤污染状况调查。用途变更为住宅、公共管理与公共服务用地的，变更前应当按照规定进行土壤污染状况调查。”本地块用途变更为商住用地，因此，变更前需要对该地块开展土壤污染状况调查评估工作。为此，</w:t>
      </w:r>
      <w:r>
        <w:rPr>
          <w:rFonts w:hint="default" w:ascii="Times New Roman" w:hAnsi="Times New Roman" w:eastAsia="宋体" w:cs="Times New Roman"/>
          <w:b w:val="0"/>
          <w:bCs w:val="0"/>
          <w:sz w:val="28"/>
          <w:szCs w:val="28"/>
          <w:vertAlign w:val="baseline"/>
          <w:lang w:val="en-US" w:eastAsia="zh-CN"/>
        </w:rPr>
        <w:t>自贡市赛鹏电线电缆有限公司</w:t>
      </w:r>
      <w:r>
        <w:rPr>
          <w:rFonts w:hint="default" w:ascii="Times New Roman" w:hAnsi="Times New Roman" w:eastAsia="宋体" w:cs="Times New Roman"/>
          <w:b w:val="0"/>
          <w:bCs w:val="0"/>
          <w:sz w:val="28"/>
          <w:szCs w:val="28"/>
          <w:vertAlign w:val="baseline"/>
          <w:lang w:val="en-US" w:eastAsia="zh-CN"/>
        </w:rPr>
        <w:t>委托四川和鉴检测技术有限公司开展自贡市赛鹏电线电缆有限公司地块土壤污染状况调查评估工作。</w:t>
      </w:r>
    </w:p>
    <w:p w14:paraId="4D400E8C">
      <w:pPr>
        <w:numPr>
          <w:ilvl w:val="0"/>
          <w:numId w:val="0"/>
        </w:numPr>
        <w:ind w:firstLine="562" w:firstLineChars="200"/>
        <w:jc w:val="left"/>
        <w:rPr>
          <w:rFonts w:hint="default" w:ascii="Times New Roman" w:hAnsi="Times New Roman" w:cs="Times New Roman"/>
          <w:b/>
          <w:bCs/>
          <w:color w:val="auto"/>
          <w:kern w:val="2"/>
          <w:sz w:val="28"/>
          <w:szCs w:val="28"/>
          <w:vertAlign w:val="baseline"/>
          <w:lang w:val="en-US" w:eastAsia="zh-CN" w:bidi="ar-SA"/>
        </w:rPr>
      </w:pPr>
      <w:r>
        <w:rPr>
          <w:rFonts w:hint="default" w:ascii="Times New Roman" w:hAnsi="Times New Roman" w:cs="Times New Roman"/>
          <w:b/>
          <w:bCs/>
          <w:color w:val="auto"/>
          <w:kern w:val="2"/>
          <w:sz w:val="28"/>
          <w:szCs w:val="28"/>
          <w:vertAlign w:val="baseline"/>
          <w:lang w:val="en-US" w:eastAsia="zh-CN" w:bidi="ar-SA"/>
        </w:rPr>
        <w:t>二、地块使用现状和历史</w:t>
      </w:r>
    </w:p>
    <w:p w14:paraId="62406B07">
      <w:pPr>
        <w:numPr>
          <w:ilvl w:val="0"/>
          <w:numId w:val="0"/>
        </w:numPr>
        <w:ind w:firstLine="560" w:firstLineChars="200"/>
        <w:jc w:val="left"/>
        <w:rPr>
          <w:rFonts w:hint="default" w:ascii="Times New Roman" w:hAnsi="Times New Roman" w:eastAsia="宋体" w:cs="Times New Roman"/>
          <w:b w:val="0"/>
          <w:bCs w:val="0"/>
          <w:sz w:val="28"/>
          <w:szCs w:val="28"/>
          <w:vertAlign w:val="baseline"/>
          <w:lang w:val="en-US" w:eastAsia="zh-CN"/>
        </w:rPr>
      </w:pPr>
      <w:r>
        <w:rPr>
          <w:rFonts w:hint="default" w:ascii="Times New Roman" w:hAnsi="Times New Roman" w:eastAsia="宋体" w:cs="Times New Roman"/>
          <w:b w:val="0"/>
          <w:bCs w:val="0"/>
          <w:sz w:val="28"/>
          <w:szCs w:val="28"/>
          <w:vertAlign w:val="baseline"/>
          <w:lang w:val="en-US" w:eastAsia="zh-CN"/>
        </w:rPr>
        <w:t>评估地块位于四川省自贡市富顺县富世镇宋渡路北段4号，占地面积9701.39平方米。通过现场踏勘及人员访谈发现，自贡市赛鹏电线电缆有限公司位于四川富顺晨光工业园区内，2013年1月开始生产，产品主要为电线、电子线等，2023年7月停产，2018年1月厂区空余厂房租借给其子公司自贡海盛铜业有限公司生产使用，主要产品为不同规格型号的铜线，2022年5月已停产。2020年5月企业宿舍楼西侧区域租借作为臻鑫农配送中心，2023年6月停产。目前地块内所有原辅料、产品等物料均已搬迁，只剩构筑物未拆除。</w:t>
      </w:r>
    </w:p>
    <w:p w14:paraId="73882BA2">
      <w:pPr>
        <w:numPr>
          <w:ilvl w:val="0"/>
          <w:numId w:val="0"/>
        </w:numPr>
        <w:ind w:firstLine="562" w:firstLineChars="200"/>
        <w:jc w:val="left"/>
        <w:rPr>
          <w:rFonts w:hint="default" w:ascii="Times New Roman" w:hAnsi="Times New Roman" w:cs="Times New Roman"/>
          <w:b/>
          <w:bCs/>
          <w:color w:val="auto"/>
          <w:kern w:val="2"/>
          <w:sz w:val="28"/>
          <w:szCs w:val="28"/>
          <w:vertAlign w:val="baseline"/>
          <w:lang w:val="en-US" w:eastAsia="zh-CN" w:bidi="ar-SA"/>
        </w:rPr>
      </w:pPr>
      <w:r>
        <w:rPr>
          <w:rFonts w:hint="eastAsia" w:ascii="Times New Roman" w:hAnsi="Times New Roman" w:cs="Times New Roman"/>
          <w:b/>
          <w:bCs/>
          <w:color w:val="auto"/>
          <w:kern w:val="2"/>
          <w:sz w:val="28"/>
          <w:szCs w:val="28"/>
          <w:vertAlign w:val="baseline"/>
          <w:lang w:val="en-US" w:eastAsia="zh-CN" w:bidi="ar-SA"/>
        </w:rPr>
        <w:t>三、</w:t>
      </w:r>
      <w:r>
        <w:rPr>
          <w:rFonts w:hint="eastAsia" w:asciiTheme="minorEastAsia" w:hAnsiTheme="minorEastAsia" w:eastAsiaTheme="minorEastAsia" w:cstheme="minorEastAsia"/>
          <w:b/>
          <w:bCs/>
          <w:sz w:val="28"/>
          <w:szCs w:val="28"/>
        </w:rPr>
        <w:t>地块未来用地规划</w:t>
      </w:r>
    </w:p>
    <w:p w14:paraId="4837849F">
      <w:pPr>
        <w:spacing w:line="360" w:lineRule="auto"/>
        <w:ind w:firstLine="560" w:firstLineChars="200"/>
        <w:jc w:val="left"/>
        <w:rPr>
          <w:rFonts w:hint="default" w:ascii="Times New Roman" w:hAnsi="Times New Roman" w:eastAsia="宋体" w:cs="Times New Roman"/>
          <w:b w:val="0"/>
          <w:bCs w:val="0"/>
          <w:sz w:val="28"/>
          <w:szCs w:val="28"/>
          <w:vertAlign w:val="baseline"/>
          <w:lang w:val="en-US" w:eastAsia="zh-CN"/>
        </w:rPr>
      </w:pPr>
      <w:r>
        <w:rPr>
          <w:rFonts w:hint="default" w:ascii="Times New Roman" w:hAnsi="Times New Roman" w:eastAsia="宋体" w:cs="Times New Roman"/>
          <w:b w:val="0"/>
          <w:bCs w:val="0"/>
          <w:sz w:val="28"/>
          <w:szCs w:val="28"/>
          <w:vertAlign w:val="baseline"/>
          <w:lang w:val="en-US" w:eastAsia="zh-CN"/>
        </w:rPr>
        <w:t>根据《四川富顺晨光经济开发区总体规划》（2021-2035），自贡市赛鹏电线电缆有限公司地块所属区域规划为商住用地，对照GB36600-2018为第一类用地。</w:t>
      </w:r>
    </w:p>
    <w:p w14:paraId="1FA472B1">
      <w:pPr>
        <w:numPr>
          <w:ilvl w:val="0"/>
          <w:numId w:val="1"/>
        </w:numPr>
        <w:ind w:firstLine="562" w:firstLineChars="200"/>
        <w:jc w:val="left"/>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调查情况</w:t>
      </w:r>
    </w:p>
    <w:p w14:paraId="44A76F4D">
      <w:pPr>
        <w:numPr>
          <w:ilvl w:val="0"/>
          <w:numId w:val="0"/>
        </w:numPr>
        <w:ind w:firstLine="560" w:firstLineChars="200"/>
        <w:jc w:val="left"/>
        <w:rPr>
          <w:rFonts w:hint="default" w:ascii="Times New Roman" w:hAnsi="Times New Roman" w:eastAsia="宋体" w:cs="Times New Roman"/>
          <w:b w:val="0"/>
          <w:bCs w:val="0"/>
          <w:color w:val="auto"/>
          <w:sz w:val="28"/>
          <w:szCs w:val="28"/>
          <w:lang w:val="en-US" w:eastAsia="zh-CN"/>
        </w:rPr>
      </w:pPr>
      <w:r>
        <w:rPr>
          <w:rFonts w:hint="default" w:ascii="Times New Roman" w:hAnsi="Times New Roman" w:eastAsia="宋体" w:cs="Times New Roman"/>
          <w:b w:val="0"/>
          <w:bCs w:val="0"/>
          <w:color w:val="auto"/>
          <w:sz w:val="28"/>
          <w:szCs w:val="28"/>
          <w:lang w:val="en-US" w:eastAsia="zh-CN"/>
        </w:rPr>
        <w:t>根据地块系列导则，项目组开展了自贡市赛鹏电线电缆有限公司地块土壤污染状况初步调查，并得出以下结论：</w:t>
      </w:r>
    </w:p>
    <w:p w14:paraId="6CF43AFD">
      <w:pPr>
        <w:numPr>
          <w:ilvl w:val="0"/>
          <w:numId w:val="0"/>
        </w:numPr>
        <w:ind w:firstLine="560" w:firstLineChars="200"/>
        <w:jc w:val="left"/>
        <w:rPr>
          <w:rFonts w:hint="default" w:ascii="Times New Roman" w:hAnsi="Times New Roman" w:eastAsia="宋体" w:cs="Times New Roman"/>
          <w:b w:val="0"/>
          <w:bCs w:val="0"/>
          <w:color w:val="auto"/>
          <w:sz w:val="28"/>
          <w:szCs w:val="28"/>
          <w:lang w:val="en-US" w:eastAsia="zh-CN"/>
        </w:rPr>
      </w:pPr>
      <w:r>
        <w:rPr>
          <w:rFonts w:hint="default" w:ascii="Times New Roman" w:hAnsi="Times New Roman" w:eastAsia="宋体" w:cs="Times New Roman"/>
          <w:b w:val="0"/>
          <w:bCs w:val="0"/>
          <w:color w:val="auto"/>
          <w:sz w:val="28"/>
          <w:szCs w:val="28"/>
          <w:lang w:val="en-US" w:eastAsia="zh-CN"/>
        </w:rPr>
        <w:t>（1）地块内共布设8个土壤监测点位，采集土壤样品20个，地块外布设1个土壤对照点位，采集土壤样品1个；地块内布设2个地下水监测点（W1、W2），地块外上游方向布设1个地下水监测点（W3），采样深度水面0.5m以下。</w:t>
      </w:r>
    </w:p>
    <w:p w14:paraId="01D48BBC">
      <w:pPr>
        <w:numPr>
          <w:ilvl w:val="0"/>
          <w:numId w:val="0"/>
        </w:numPr>
        <w:ind w:firstLine="560" w:firstLineChars="200"/>
        <w:jc w:val="left"/>
        <w:rPr>
          <w:rFonts w:hint="default" w:ascii="Times New Roman" w:hAnsi="Times New Roman" w:eastAsia="宋体" w:cs="Times New Roman"/>
          <w:b w:val="0"/>
          <w:bCs w:val="0"/>
          <w:color w:val="auto"/>
          <w:sz w:val="28"/>
          <w:szCs w:val="28"/>
          <w:lang w:val="en-US" w:eastAsia="zh-CN"/>
        </w:rPr>
      </w:pPr>
      <w:r>
        <w:rPr>
          <w:rFonts w:hint="default" w:ascii="Times New Roman" w:hAnsi="Times New Roman" w:eastAsia="宋体" w:cs="Times New Roman"/>
          <w:b w:val="0"/>
          <w:bCs w:val="0"/>
          <w:color w:val="auto"/>
          <w:sz w:val="28"/>
          <w:szCs w:val="28"/>
          <w:lang w:val="en-US" w:eastAsia="zh-CN"/>
        </w:rPr>
        <w:t>（2）检测结果表明，地块内所有土壤检测项目的监测结果均未超过《土壤环境质量 建设用地土壤污染风险管控标准（试行）》（GB36600-2018）中第一类用地筛选值，锌、锡的监测结果未超过江西省地方标准《建设用地土壤污染风险管控标准（试行）》（DB36/1282-2020）中第一类用地筛选值；地块内地下水监测点位监测指标均符合《地下水质量标准》（GB/T14848-2017）中Ⅳ类标准限值，石油类符合《地表水环境质量标准》（GB 3838-2002）中Ⅳ类标准。</w:t>
      </w:r>
    </w:p>
    <w:p w14:paraId="36A55E5A">
      <w:pPr>
        <w:numPr>
          <w:ilvl w:val="0"/>
          <w:numId w:val="0"/>
        </w:numPr>
        <w:ind w:firstLine="562" w:firstLineChars="200"/>
        <w:jc w:val="left"/>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五、初步调查结论</w:t>
      </w:r>
    </w:p>
    <w:p w14:paraId="1C471141">
      <w:pPr>
        <w:numPr>
          <w:ilvl w:val="0"/>
          <w:numId w:val="0"/>
        </w:numPr>
        <w:ind w:firstLine="560" w:firstLineChars="200"/>
        <w:jc w:val="left"/>
        <w:rPr>
          <w:rFonts w:hint="default" w:ascii="Times New Roman" w:hAnsi="Times New Roman" w:eastAsia="宋体" w:cs="Times New Roman"/>
          <w:b w:val="0"/>
          <w:bCs w:val="0"/>
          <w:color w:val="auto"/>
          <w:sz w:val="28"/>
          <w:szCs w:val="28"/>
          <w:lang w:val="en-US" w:eastAsia="zh-CN"/>
        </w:rPr>
      </w:pPr>
      <w:r>
        <w:rPr>
          <w:rFonts w:hint="default" w:ascii="Times New Roman" w:hAnsi="Times New Roman" w:eastAsia="宋体" w:cs="Times New Roman"/>
          <w:b w:val="0"/>
          <w:bCs w:val="0"/>
          <w:color w:val="auto"/>
          <w:sz w:val="28"/>
          <w:szCs w:val="28"/>
          <w:lang w:val="en-US" w:eastAsia="zh-CN"/>
        </w:rPr>
        <w:t>自贡市赛鹏电线电缆有限公司地块内土壤点位和地块外对照点的所有土壤检测项目的监测结果均未超过《土壤环境质量 建设用地土壤污染风险管控标准（试行）》（GB36600-2018）中第一类用地筛选值，锌、锡的监测结果未超过江西省地方标准《建设用地土壤污染风险管控标准（试行）》（DB36/1282-2020）中第一类用地筛选值。土壤环境风险评估结果为：无风险，无需进行下一步的详细调查。</w:t>
      </w:r>
    </w:p>
    <w:p w14:paraId="43B38BE9">
      <w:pPr>
        <w:numPr>
          <w:ilvl w:val="0"/>
          <w:numId w:val="0"/>
        </w:numPr>
        <w:ind w:firstLine="560" w:firstLineChars="200"/>
        <w:jc w:val="left"/>
        <w:rPr>
          <w:rFonts w:hint="default" w:ascii="Times New Roman" w:hAnsi="Times New Roman" w:eastAsia="宋体" w:cs="Times New Roman"/>
          <w:b w:val="0"/>
          <w:bCs w:val="0"/>
          <w:color w:val="auto"/>
          <w:sz w:val="28"/>
          <w:szCs w:val="28"/>
          <w:lang w:val="en-US" w:eastAsia="zh-CN"/>
        </w:rPr>
      </w:pPr>
      <w:r>
        <w:rPr>
          <w:rFonts w:hint="default" w:ascii="Times New Roman" w:hAnsi="Times New Roman" w:eastAsia="宋体" w:cs="Times New Roman"/>
          <w:b w:val="0"/>
          <w:bCs w:val="0"/>
          <w:color w:val="auto"/>
          <w:sz w:val="28"/>
          <w:szCs w:val="28"/>
          <w:lang w:val="en-US" w:eastAsia="zh-CN"/>
        </w:rPr>
        <w:t>综上所述，根据下一步规划及结论，该地块内土壤监测指标的监测结果均未超过《土壤环境质量建设用地土壤污染风险管控标准（试行）》（GB36600-2018）和《建设用地土壤污染风险管控标准（试行）》（DB36/1282-2020）中“第一类用地筛选值”，该地块不属于污染地块，无需进行下一步的详细调查。</w:t>
      </w:r>
    </w:p>
    <w:p w14:paraId="29F6EF5F">
      <w:pPr>
        <w:pStyle w:val="2"/>
        <w:jc w:val="right"/>
        <w:rPr>
          <w:rFonts w:hint="default" w:ascii="Times New Roman" w:hAnsi="Times New Roman" w:eastAsia="宋体" w:cs="Times New Roman"/>
          <w:color w:val="auto"/>
          <w:sz w:val="28"/>
          <w:szCs w:val="28"/>
          <w:lang w:val="en-US" w:eastAsia="zh-CN"/>
        </w:rPr>
      </w:pPr>
      <w:r>
        <w:rPr>
          <w:rFonts w:hint="eastAsia" w:ascii="Times New Roman" w:hAnsi="Times New Roman" w:eastAsia="宋体" w:cs="Times New Roman"/>
          <w:color w:val="auto"/>
          <w:sz w:val="28"/>
          <w:szCs w:val="28"/>
          <w:lang w:val="en-US" w:eastAsia="zh-CN"/>
        </w:rPr>
        <w:t>2025年1月2</w:t>
      </w:r>
      <w:bookmarkStart w:id="0" w:name="_GoBack"/>
      <w:bookmarkEnd w:id="0"/>
      <w:r>
        <w:rPr>
          <w:rFonts w:hint="eastAsia" w:ascii="Times New Roman" w:hAnsi="Times New Roman" w:eastAsia="宋体" w:cs="Times New Roman"/>
          <w:color w:val="auto"/>
          <w:sz w:val="28"/>
          <w:szCs w:val="28"/>
          <w:lang w:val="en-US" w:eastAsia="zh-CN"/>
        </w:rPr>
        <w:t>日</w:t>
      </w:r>
    </w:p>
    <w:sectPr>
      <w:pgSz w:w="11906" w:h="16838"/>
      <w:pgMar w:top="1440" w:right="1406" w:bottom="1440" w:left="140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A039AF5"/>
    <w:multiLevelType w:val="singleLevel"/>
    <w:tmpl w:val="BA039AF5"/>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U5ZjQ3MjBlNjgwMDZiYTk1NjRkMjY1ZmM2ZDNjY2IifQ=="/>
  </w:docVars>
  <w:rsids>
    <w:rsidRoot w:val="00000000"/>
    <w:rsid w:val="0021248E"/>
    <w:rsid w:val="05735BA2"/>
    <w:rsid w:val="094D6D26"/>
    <w:rsid w:val="0ABE332A"/>
    <w:rsid w:val="0CCA31E5"/>
    <w:rsid w:val="0D7F2AEA"/>
    <w:rsid w:val="0F6D4F17"/>
    <w:rsid w:val="0F955B67"/>
    <w:rsid w:val="11335637"/>
    <w:rsid w:val="167A301A"/>
    <w:rsid w:val="194457B7"/>
    <w:rsid w:val="1BB24AE4"/>
    <w:rsid w:val="1D4D0124"/>
    <w:rsid w:val="1F73543D"/>
    <w:rsid w:val="21BF1545"/>
    <w:rsid w:val="230916FB"/>
    <w:rsid w:val="234A5B4B"/>
    <w:rsid w:val="2564005E"/>
    <w:rsid w:val="25821192"/>
    <w:rsid w:val="2CEB74AE"/>
    <w:rsid w:val="2DA84FA0"/>
    <w:rsid w:val="2FFA556D"/>
    <w:rsid w:val="34681E5C"/>
    <w:rsid w:val="35834A13"/>
    <w:rsid w:val="361E2887"/>
    <w:rsid w:val="367137FD"/>
    <w:rsid w:val="36CB7AEC"/>
    <w:rsid w:val="37135E6D"/>
    <w:rsid w:val="387E2D8D"/>
    <w:rsid w:val="3A0021AD"/>
    <w:rsid w:val="3B7C1B1E"/>
    <w:rsid w:val="3BB26491"/>
    <w:rsid w:val="3F4F7231"/>
    <w:rsid w:val="41AB7BA2"/>
    <w:rsid w:val="44A45EB2"/>
    <w:rsid w:val="45E46350"/>
    <w:rsid w:val="468F41A1"/>
    <w:rsid w:val="47024B89"/>
    <w:rsid w:val="47975C19"/>
    <w:rsid w:val="480269C7"/>
    <w:rsid w:val="489C74CE"/>
    <w:rsid w:val="48AE3672"/>
    <w:rsid w:val="4ADD7DE7"/>
    <w:rsid w:val="4B750F96"/>
    <w:rsid w:val="4D605854"/>
    <w:rsid w:val="4DF9450D"/>
    <w:rsid w:val="4E464569"/>
    <w:rsid w:val="4FDE222C"/>
    <w:rsid w:val="50994B4D"/>
    <w:rsid w:val="52ED0DE3"/>
    <w:rsid w:val="53596C55"/>
    <w:rsid w:val="541F3CC5"/>
    <w:rsid w:val="542E520F"/>
    <w:rsid w:val="547515F6"/>
    <w:rsid w:val="59087A65"/>
    <w:rsid w:val="5A7928E2"/>
    <w:rsid w:val="5EA17027"/>
    <w:rsid w:val="5EC30B27"/>
    <w:rsid w:val="62731C81"/>
    <w:rsid w:val="63BA39CC"/>
    <w:rsid w:val="666656DD"/>
    <w:rsid w:val="6A2035CA"/>
    <w:rsid w:val="6AD85E51"/>
    <w:rsid w:val="6B054BDE"/>
    <w:rsid w:val="6C227023"/>
    <w:rsid w:val="6C580F50"/>
    <w:rsid w:val="6DDF31EB"/>
    <w:rsid w:val="6E727259"/>
    <w:rsid w:val="6F7A5D87"/>
    <w:rsid w:val="72037883"/>
    <w:rsid w:val="7241444D"/>
    <w:rsid w:val="72785B7B"/>
    <w:rsid w:val="73A152FA"/>
    <w:rsid w:val="76434178"/>
    <w:rsid w:val="78702104"/>
    <w:rsid w:val="79614841"/>
    <w:rsid w:val="7A9D7B30"/>
    <w:rsid w:val="7E425C05"/>
    <w:rsid w:val="7E4B683A"/>
    <w:rsid w:val="7ED52A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0"/>
    <w:pPr>
      <w:ind w:firstLine="420" w:firstLineChars="200"/>
    </w:pPr>
  </w:style>
  <w:style w:type="paragraph" w:styleId="3">
    <w:name w:val="Body Text Indent"/>
    <w:basedOn w:val="1"/>
    <w:next w:val="4"/>
    <w:qFormat/>
    <w:uiPriority w:val="0"/>
    <w:pPr>
      <w:spacing w:after="120" w:afterLines="0" w:afterAutospacing="0"/>
      <w:ind w:left="420" w:leftChars="200"/>
    </w:pPr>
  </w:style>
  <w:style w:type="paragraph" w:styleId="4">
    <w:name w:val="toc 3"/>
    <w:basedOn w:val="1"/>
    <w:next w:val="1"/>
    <w:autoRedefine/>
    <w:qFormat/>
    <w:uiPriority w:val="0"/>
    <w:pPr>
      <w:spacing w:line="360" w:lineRule="auto"/>
      <w:ind w:left="0" w:leftChars="0" w:firstLine="1205" w:firstLineChars="250"/>
    </w:pPr>
    <w:rPr>
      <w:rFonts w:ascii="Times New Roman" w:hAnsi="Times New Roman" w:eastAsia="宋体" w:cs="宋体"/>
      <w:sz w:val="24"/>
      <w:lang w:val="zh-CN" w:bidi="zh-CN"/>
    </w:rPr>
  </w:style>
  <w:style w:type="paragraph" w:styleId="5">
    <w:name w:val="Body Text"/>
    <w:basedOn w:val="1"/>
    <w:next w:val="6"/>
    <w:autoRedefine/>
    <w:qFormat/>
    <w:uiPriority w:val="0"/>
    <w:pPr>
      <w:widowControl w:val="0"/>
      <w:spacing w:after="120" w:afterLines="0" w:line="360" w:lineRule="auto"/>
      <w:ind w:firstLine="562" w:firstLineChars="200"/>
      <w:jc w:val="both"/>
    </w:pPr>
    <w:rPr>
      <w:rFonts w:ascii="Times New Roman" w:hAnsi="Times New Roman" w:eastAsia="宋体" w:cs="Times New Roman"/>
      <w:kern w:val="2"/>
      <w:sz w:val="24"/>
      <w:szCs w:val="24"/>
      <w:lang w:val="en-US" w:eastAsia="zh-CN" w:bidi="ar-SA"/>
    </w:rPr>
  </w:style>
  <w:style w:type="paragraph" w:styleId="6">
    <w:name w:val="Body Text First Indent"/>
    <w:basedOn w:val="5"/>
    <w:autoRedefine/>
    <w:unhideWhenUsed/>
    <w:qFormat/>
    <w:uiPriority w:val="99"/>
    <w:pPr>
      <w:ind w:firstLine="420" w:firstLineChars="1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1359</Words>
  <Characters>1557</Characters>
  <Lines>0</Lines>
  <Paragraphs>0</Paragraphs>
  <TotalTime>0</TotalTime>
  <ScaleCrop>false</ScaleCrop>
  <LinksUpToDate>false</LinksUpToDate>
  <CharactersWithSpaces>1560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邹涛</cp:lastModifiedBy>
  <dcterms:modified xsi:type="dcterms:W3CDTF">2025-01-02T03:14:14Z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E5EC45FD201C40AFAADC356458F0E616</vt:lpwstr>
  </property>
  <property fmtid="{D5CDD505-2E9C-101B-9397-08002B2CF9AE}" pid="4" name="KSOTemplateDocerSaveRecord">
    <vt:lpwstr>eyJoZGlkIjoiNzU5ZjQ3MjBlNjgwMDZiYTk1NjRkMjY1ZmM2ZDNjY2IiLCJ1c2VySWQiOiIzNzEyNDkwMTQifQ==</vt:lpwstr>
  </property>
</Properties>
</file>