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BF6C702">
      <w:pPr>
        <w:keepNext w:val="0"/>
        <w:keepLines w:val="0"/>
        <w:widowControl/>
        <w:suppressLineNumbers w:val="0"/>
        <w:ind w:left="0" w:leftChars="0" w:firstLine="0" w:firstLineChars="0"/>
        <w:jc w:val="center"/>
        <w:rPr>
          <w:rFonts w:hint="eastAsia" w:ascii="Times New Roman" w:hAnsi="Times New Roman" w:eastAsia="宋体" w:cs="Times New Roman"/>
          <w:b/>
          <w:bCs/>
          <w:kern w:val="2"/>
          <w:sz w:val="24"/>
          <w:szCs w:val="24"/>
          <w:highlight w:val="none"/>
          <w:lang w:val="en-US" w:eastAsia="zh-CN" w:bidi="ar-SA"/>
        </w:rPr>
      </w:pPr>
      <w:r>
        <w:rPr>
          <w:rFonts w:hint="eastAsia" w:ascii="Times New Roman" w:hAnsi="Times New Roman" w:eastAsia="宋体" w:cs="Times New Roman"/>
          <w:b/>
          <w:bCs/>
          <w:kern w:val="2"/>
          <w:sz w:val="24"/>
          <w:szCs w:val="24"/>
          <w:highlight w:val="none"/>
          <w:lang w:val="en-US" w:eastAsia="zh-CN" w:bidi="ar-SA"/>
        </w:rPr>
        <w:t>眉山天府新区2024（TR）-1号地块土壤污染状况初步调查公示</w:t>
      </w:r>
    </w:p>
    <w:p w14:paraId="2320C5F3">
      <w:pPr>
        <w:keepNext w:val="0"/>
        <w:keepLines w:val="0"/>
        <w:widowControl/>
        <w:suppressLineNumbers w:val="0"/>
        <w:jc w:val="left"/>
        <w:rPr>
          <w:rFonts w:hint="default" w:ascii="Times New Roman" w:hAnsi="Times New Roman" w:cs="Times New Roman"/>
          <w:color w:val="auto"/>
          <w:highlight w:val="none"/>
          <w:lang w:val="en-US" w:eastAsia="zh-CN"/>
        </w:rPr>
      </w:pPr>
      <w:r>
        <w:rPr>
          <w:rFonts w:hint="eastAsia" w:ascii="Times New Roman" w:hAnsi="Times New Roman" w:cs="Times New Roman"/>
          <w:color w:val="auto"/>
          <w:highlight w:val="none"/>
          <w:lang w:val="en-US" w:eastAsia="zh-CN"/>
        </w:rPr>
        <w:t>眉山天府新区</w:t>
      </w:r>
      <w:r>
        <w:rPr>
          <w:rFonts w:hint="eastAsia" w:ascii="Times New Roman" w:hAnsi="Times New Roman" w:cs="Times New Roman"/>
          <w:color w:val="auto"/>
          <w:lang w:val="en-US" w:eastAsia="zh-CN"/>
        </w:rPr>
        <w:t>2024（TR）-1号</w:t>
      </w:r>
      <w:r>
        <w:rPr>
          <w:rFonts w:hint="default" w:ascii="Times New Roman" w:hAnsi="Times New Roman" w:cs="Times New Roman"/>
          <w:color w:val="auto"/>
          <w:lang w:val="en-US" w:eastAsia="zh-CN"/>
        </w:rPr>
        <w:t>地块位于</w:t>
      </w:r>
      <w:r>
        <w:rPr>
          <w:rFonts w:hint="eastAsia" w:ascii="Times New Roman" w:hAnsi="Times New Roman" w:cs="Times New Roman"/>
          <w:color w:val="auto"/>
          <w:lang w:val="en-US" w:eastAsia="zh-CN"/>
        </w:rPr>
        <w:t>四川省眉山市仁寿县高家镇花园社区2组，</w:t>
      </w:r>
      <w:r>
        <w:rPr>
          <w:rFonts w:hint="default" w:ascii="Times New Roman" w:hAnsi="Times New Roman" w:cs="Times New Roman"/>
          <w:color w:val="auto"/>
          <w:highlight w:val="none"/>
          <w:lang w:val="en-US" w:eastAsia="zh-CN"/>
        </w:rPr>
        <w:t>地块占地面积共计</w:t>
      </w:r>
      <w:r>
        <w:rPr>
          <w:rFonts w:hint="eastAsia" w:ascii="Times New Roman" w:hAnsi="Times New Roman" w:cs="Times New Roman"/>
          <w:color w:val="auto"/>
          <w:highlight w:val="none"/>
          <w:lang w:val="en-US" w:eastAsia="zh-CN"/>
        </w:rPr>
        <w:t>26711.09m</w:t>
      </w:r>
      <w:r>
        <w:rPr>
          <w:rFonts w:hint="eastAsia" w:ascii="Times New Roman" w:hAnsi="Times New Roman" w:cs="Times New Roman"/>
          <w:color w:val="auto"/>
          <w:highlight w:val="none"/>
          <w:vertAlign w:val="superscript"/>
          <w:lang w:val="en-US" w:eastAsia="zh-CN"/>
        </w:rPr>
        <w:t>2</w:t>
      </w:r>
      <w:r>
        <w:rPr>
          <w:rFonts w:hint="eastAsia" w:ascii="Times New Roman" w:hAnsi="Times New Roman" w:cs="Times New Roman"/>
          <w:color w:val="auto"/>
          <w:highlight w:val="none"/>
          <w:vertAlign w:val="baseline"/>
          <w:lang w:val="en-US" w:eastAsia="zh-CN"/>
        </w:rPr>
        <w:t>，</w:t>
      </w:r>
      <w:r>
        <w:rPr>
          <w:rFonts w:hint="eastAsia"/>
          <w:color w:val="auto"/>
          <w:highlight w:val="none"/>
          <w:lang w:val="en-US" w:eastAsia="zh-CN"/>
        </w:rPr>
        <w:t>该地块原为耕地、农户</w:t>
      </w:r>
      <w:r>
        <w:rPr>
          <w:rFonts w:hint="default" w:ascii="Times New Roman" w:hAnsi="Times New Roman" w:cs="Times New Roman"/>
          <w:color w:val="auto"/>
          <w:highlight w:val="none"/>
          <w:lang w:val="en-US" w:eastAsia="zh-CN"/>
        </w:rPr>
        <w:t>。</w:t>
      </w:r>
      <w:r>
        <w:rPr>
          <w:rFonts w:hint="default" w:ascii="Times New Roman" w:hAnsi="Times New Roman" w:cs="Times New Roman"/>
          <w:highlight w:val="none"/>
          <w:lang w:val="en-US" w:eastAsia="zh-CN"/>
        </w:rPr>
        <w:t>根据</w:t>
      </w:r>
      <w:r>
        <w:rPr>
          <w:rFonts w:hint="eastAsia" w:ascii="Times New Roman" w:hAnsi="Times New Roman" w:cs="Times New Roman"/>
          <w:highlight w:val="none"/>
          <w:lang w:val="en-US" w:eastAsia="zh-CN"/>
        </w:rPr>
        <w:t>《眉山天府新区出让地块规划条件》</w:t>
      </w:r>
      <w:r>
        <w:rPr>
          <w:rFonts w:hint="eastAsia" w:ascii="Times New Roman" w:hAnsi="Times New Roman" w:eastAsia="宋体" w:cs="Times New Roman"/>
          <w:color w:val="auto"/>
          <w:highlight w:val="none"/>
          <w:lang w:val="en-US" w:eastAsia="zh-CN"/>
        </w:rPr>
        <w:t>（天府眉规设[2024]5号）</w:t>
      </w:r>
      <w:r>
        <w:rPr>
          <w:rFonts w:hint="eastAsia" w:ascii="Times New Roman" w:hAnsi="Times New Roman" w:eastAsia="宋体" w:cs="Times New Roman"/>
          <w:highlight w:val="none"/>
          <w:lang w:val="en-US" w:eastAsia="zh-CN"/>
        </w:rPr>
        <w:t>，</w:t>
      </w:r>
      <w:r>
        <w:rPr>
          <w:rFonts w:hint="default" w:ascii="Times New Roman" w:hAnsi="Times New Roman" w:cs="Times New Roman"/>
          <w:highlight w:val="none"/>
          <w:lang w:val="en-US" w:eastAsia="zh-CN"/>
        </w:rPr>
        <w:t>评估地块规划为</w:t>
      </w:r>
      <w:r>
        <w:rPr>
          <w:rFonts w:hint="eastAsia" w:ascii="Times New Roman" w:hAnsi="Times New Roman" w:cs="Times New Roman"/>
          <w:color w:val="auto"/>
          <w:highlight w:val="none"/>
          <w:lang w:val="en-US" w:eastAsia="zh-CN"/>
        </w:rPr>
        <w:t>二类居住用地。</w:t>
      </w:r>
      <w:r>
        <w:rPr>
          <w:rFonts w:hint="eastAsia" w:ascii="Times New Roman" w:hAnsi="Times New Roman" w:eastAsia="宋体" w:cs="Times New Roman"/>
          <w:sz w:val="24"/>
          <w:szCs w:val="24"/>
          <w:highlight w:val="none"/>
          <w:lang w:val="en-US" w:eastAsia="zh-CN"/>
        </w:rPr>
        <w:t>根据《国土空间调查、规划、用途管制用地海分类指南（试行）》</w:t>
      </w:r>
      <w:r>
        <w:rPr>
          <w:rFonts w:hint="eastAsia" w:ascii="Times New Roman" w:hAnsi="Times New Roman" w:cs="Times New Roman"/>
          <w:highlight w:val="none"/>
          <w:lang w:val="en-US" w:eastAsia="zh-CN"/>
        </w:rPr>
        <w:t>结合</w:t>
      </w:r>
      <w:r>
        <w:rPr>
          <w:rFonts w:hint="default" w:ascii="Times New Roman" w:hAnsi="Times New Roman" w:eastAsia="宋体" w:cs="Times New Roman"/>
          <w:sz w:val="24"/>
          <w:szCs w:val="24"/>
          <w:highlight w:val="none"/>
          <w:lang w:val="en-US" w:eastAsia="zh-CN"/>
        </w:rPr>
        <w:t>GB50137-2011</w:t>
      </w:r>
      <w:r>
        <w:rPr>
          <w:rFonts w:hint="eastAsia" w:ascii="Times New Roman" w:hAnsi="Times New Roman" w:eastAsia="宋体" w:cs="Times New Roman"/>
          <w:sz w:val="24"/>
          <w:szCs w:val="24"/>
          <w:highlight w:val="none"/>
          <w:lang w:val="en-US" w:eastAsia="zh-CN"/>
        </w:rPr>
        <w:t>中对用地性质描述，故确认为该地块用地性质属</w:t>
      </w:r>
      <w:r>
        <w:rPr>
          <w:rFonts w:hint="eastAsia" w:ascii="Times New Roman" w:hAnsi="Times New Roman" w:cs="Times New Roman"/>
          <w:color w:val="auto"/>
          <w:highlight w:val="none"/>
          <w:lang w:val="en-US" w:eastAsia="zh-CN"/>
        </w:rPr>
        <w:t>二类居住用地</w:t>
      </w:r>
      <w:r>
        <w:rPr>
          <w:rFonts w:hint="eastAsia" w:ascii="Times New Roman" w:hAnsi="Times New Roman" w:eastAsia="宋体" w:cs="Times New Roman"/>
          <w:sz w:val="24"/>
          <w:szCs w:val="24"/>
          <w:highlight w:val="none"/>
          <w:lang w:val="en-US" w:eastAsia="zh-CN"/>
        </w:rPr>
        <w:t>，</w:t>
      </w:r>
      <w:r>
        <w:rPr>
          <w:rFonts w:hint="default" w:ascii="Times New Roman" w:hAnsi="Times New Roman" w:eastAsia="宋体" w:cs="Times New Roman"/>
          <w:sz w:val="24"/>
          <w:szCs w:val="24"/>
          <w:highlight w:val="none"/>
          <w:lang w:val="en-US" w:eastAsia="zh-CN"/>
        </w:rPr>
        <w:t>对照GB36600-2018为</w:t>
      </w:r>
      <w:r>
        <w:rPr>
          <w:rFonts w:hint="eastAsia" w:ascii="Times New Roman" w:hAnsi="Times New Roman" w:eastAsia="宋体" w:cs="Times New Roman"/>
          <w:sz w:val="24"/>
          <w:szCs w:val="24"/>
          <w:highlight w:val="none"/>
          <w:lang w:val="en-US" w:eastAsia="zh-CN"/>
        </w:rPr>
        <w:t>第一类用地。</w:t>
      </w:r>
      <w:bookmarkStart w:id="0" w:name="_GoBack"/>
      <w:bookmarkEnd w:id="0"/>
    </w:p>
    <w:p w14:paraId="5F7E5863">
      <w:pPr>
        <w:keepNext w:val="0"/>
        <w:keepLines w:val="0"/>
        <w:widowControl/>
        <w:suppressLineNumbers w:val="0"/>
        <w:jc w:val="left"/>
        <w:rPr>
          <w:rFonts w:hint="eastAsia" w:ascii="Times New Roman" w:hAnsi="Times New Roman" w:eastAsia="宋体" w:cs="Times New Roman"/>
          <w:color w:val="auto"/>
          <w:highlight w:val="yellow"/>
          <w:lang w:val="en-US" w:eastAsia="zh-CN"/>
        </w:rPr>
      </w:pPr>
      <w:r>
        <w:rPr>
          <w:rFonts w:hint="eastAsia" w:ascii="Times New Roman" w:hAnsi="Times New Roman" w:cs="Times New Roman"/>
          <w:color w:val="auto"/>
          <w:highlight w:val="none"/>
          <w:lang w:val="en-US" w:eastAsia="zh-CN"/>
        </w:rPr>
        <w:t>眉山天府新区</w:t>
      </w:r>
      <w:r>
        <w:rPr>
          <w:rFonts w:hint="eastAsia" w:ascii="Times New Roman" w:hAnsi="Times New Roman" w:cs="Times New Roman"/>
          <w:color w:val="auto"/>
          <w:lang w:val="en-US" w:eastAsia="zh-CN"/>
        </w:rPr>
        <w:t>2024（TR）-1号</w:t>
      </w:r>
      <w:r>
        <w:rPr>
          <w:rFonts w:hint="default" w:ascii="Times New Roman" w:hAnsi="Times New Roman" w:cs="Times New Roman"/>
          <w:color w:val="auto"/>
          <w:lang w:val="en-US" w:eastAsia="zh-CN"/>
        </w:rPr>
        <w:t>地块</w:t>
      </w:r>
      <w:r>
        <w:rPr>
          <w:rFonts w:hint="eastAsia" w:ascii="Times New Roman" w:hAnsi="Times New Roman" w:cs="Times New Roman"/>
          <w:color w:val="auto"/>
          <w:highlight w:val="none"/>
          <w:lang w:val="en-US" w:eastAsia="zh-CN"/>
        </w:rPr>
        <w:t>，</w:t>
      </w:r>
      <w:r>
        <w:rPr>
          <w:rFonts w:hint="default" w:ascii="Times New Roman" w:hAnsi="Times New Roman" w:cs="Times New Roman"/>
          <w:kern w:val="2"/>
          <w:sz w:val="24"/>
          <w:szCs w:val="24"/>
          <w:highlight w:val="none"/>
          <w:lang w:val="en-US" w:eastAsia="zh-CN" w:bidi="ar-SA"/>
        </w:rPr>
        <w:t>根据《中华人民共和国土壤污染防治法》中第五十九条：</w:t>
      </w:r>
      <w:r>
        <w:rPr>
          <w:rFonts w:hint="eastAsia" w:ascii="宋体" w:hAnsi="宋体" w:eastAsia="宋体" w:cs="宋体"/>
          <w:kern w:val="2"/>
          <w:sz w:val="24"/>
          <w:szCs w:val="24"/>
          <w:highlight w:val="none"/>
          <w:lang w:val="en-US" w:eastAsia="zh-CN" w:bidi="ar-SA"/>
        </w:rPr>
        <w:t>“对土壤污染状况普查、详查和监测、现场检查表明有土壤污染风险的建设用地地块，地方人民政府生态环境主管部门应当要求土地使用权人按照规定进行土壤污染状况调查。用途变更为住宅、公共管理与公共服务用地的，变更前应当按照规定进行土壤污染状况调查。”</w:t>
      </w:r>
      <w:r>
        <w:rPr>
          <w:rFonts w:hint="eastAsia" w:ascii="Times New Roman" w:hAnsi="Times New Roman" w:cs="Times New Roman"/>
          <w:color w:val="auto"/>
          <w:highlight w:val="none"/>
          <w:lang w:val="en-US" w:eastAsia="zh-CN"/>
        </w:rPr>
        <w:t>眉山天府新区</w:t>
      </w:r>
      <w:r>
        <w:rPr>
          <w:rFonts w:hint="eastAsia" w:ascii="Times New Roman" w:hAnsi="Times New Roman" w:cs="Times New Roman"/>
          <w:color w:val="auto"/>
          <w:lang w:val="en-US" w:eastAsia="zh-CN"/>
        </w:rPr>
        <w:t>2024（TR）-1号</w:t>
      </w:r>
      <w:r>
        <w:rPr>
          <w:rFonts w:hint="default" w:ascii="Times New Roman" w:hAnsi="Times New Roman" w:cs="Times New Roman"/>
          <w:color w:val="auto"/>
          <w:lang w:val="en-US" w:eastAsia="zh-CN"/>
        </w:rPr>
        <w:t>地块</w:t>
      </w:r>
      <w:r>
        <w:rPr>
          <w:rFonts w:hint="eastAsia" w:ascii="宋体" w:hAnsi="宋体" w:cs="宋体"/>
          <w:kern w:val="2"/>
          <w:sz w:val="24"/>
          <w:szCs w:val="24"/>
          <w:highlight w:val="none"/>
          <w:lang w:val="en-US" w:eastAsia="zh-CN" w:bidi="ar-SA"/>
        </w:rPr>
        <w:t>属于</w:t>
      </w:r>
      <w:r>
        <w:rPr>
          <w:rFonts w:hint="eastAsia" w:ascii="宋体" w:hAnsi="宋体" w:eastAsia="宋体" w:cs="宋体"/>
          <w:kern w:val="2"/>
          <w:sz w:val="24"/>
          <w:szCs w:val="24"/>
          <w:highlight w:val="none"/>
          <w:lang w:val="en-US" w:eastAsia="zh-CN" w:bidi="ar-SA"/>
        </w:rPr>
        <w:t>用途变更为住宅用地的类型，变更前需要对该地块开展土壤污染状况调查评估工作。为减少本地块再开发利用过程中可能带来的环境问题，确保后续用地接触人群人身安全，四川天府新区眉山管理委员会规划和自然资源局</w:t>
      </w:r>
      <w:r>
        <w:rPr>
          <w:rFonts w:hint="default" w:ascii="Times New Roman" w:hAnsi="Times New Roman" w:cs="Times New Roman"/>
          <w:sz w:val="24"/>
          <w:szCs w:val="24"/>
          <w:highlight w:val="none"/>
          <w:lang w:val="en-US"/>
        </w:rPr>
        <w:t>委托四川</w:t>
      </w:r>
      <w:r>
        <w:rPr>
          <w:rFonts w:hint="eastAsia" w:cs="Times New Roman"/>
          <w:sz w:val="24"/>
          <w:szCs w:val="24"/>
          <w:highlight w:val="none"/>
          <w:lang w:val="en-US" w:eastAsia="zh-CN"/>
        </w:rPr>
        <w:t>和鉴</w:t>
      </w:r>
      <w:r>
        <w:rPr>
          <w:rFonts w:hint="default" w:ascii="Times New Roman" w:hAnsi="Times New Roman" w:cs="Times New Roman"/>
          <w:sz w:val="24"/>
          <w:szCs w:val="24"/>
          <w:highlight w:val="none"/>
          <w:lang w:val="en-US"/>
        </w:rPr>
        <w:t>检测技术有限公司开展</w:t>
      </w:r>
      <w:r>
        <w:rPr>
          <w:rFonts w:hint="eastAsia" w:ascii="Times New Roman" w:hAnsi="Times New Roman" w:cs="Times New Roman"/>
          <w:color w:val="auto"/>
          <w:highlight w:val="none"/>
          <w:lang w:val="en-US" w:eastAsia="zh-CN"/>
        </w:rPr>
        <w:t>眉山天府新区</w:t>
      </w:r>
      <w:r>
        <w:rPr>
          <w:rFonts w:hint="eastAsia" w:ascii="Times New Roman" w:hAnsi="Times New Roman" w:cs="Times New Roman"/>
          <w:color w:val="auto"/>
          <w:lang w:val="en-US" w:eastAsia="zh-CN"/>
        </w:rPr>
        <w:t>2024（TR）-1号</w:t>
      </w:r>
      <w:r>
        <w:rPr>
          <w:rFonts w:hint="default" w:ascii="Times New Roman" w:hAnsi="Times New Roman" w:cs="Times New Roman"/>
          <w:color w:val="auto"/>
          <w:lang w:val="en-US" w:eastAsia="zh-CN"/>
        </w:rPr>
        <w:t>地块</w:t>
      </w:r>
      <w:r>
        <w:rPr>
          <w:rFonts w:hint="default" w:ascii="Times New Roman" w:hAnsi="Times New Roman" w:cs="Times New Roman"/>
          <w:sz w:val="24"/>
          <w:szCs w:val="24"/>
          <w:highlight w:val="none"/>
        </w:rPr>
        <w:t>土壤污染状况</w:t>
      </w:r>
      <w:r>
        <w:rPr>
          <w:rFonts w:hint="eastAsia" w:ascii="Times New Roman" w:hAnsi="Times New Roman" w:cs="Times New Roman"/>
          <w:sz w:val="24"/>
          <w:szCs w:val="24"/>
          <w:highlight w:val="none"/>
          <w:lang w:val="en-US" w:eastAsia="zh-CN"/>
        </w:rPr>
        <w:t>初步</w:t>
      </w:r>
      <w:r>
        <w:rPr>
          <w:rFonts w:hint="default" w:ascii="Times New Roman" w:hAnsi="Times New Roman" w:cs="Times New Roman"/>
          <w:sz w:val="24"/>
          <w:szCs w:val="24"/>
          <w:highlight w:val="none"/>
        </w:rPr>
        <w:t>调查评估工作</w:t>
      </w:r>
      <w:r>
        <w:rPr>
          <w:rFonts w:hint="eastAsia" w:ascii="Times New Roman" w:hAnsi="Times New Roman" w:cs="Times New Roman"/>
          <w:sz w:val="24"/>
          <w:szCs w:val="24"/>
          <w:highlight w:val="none"/>
          <w:lang w:eastAsia="zh-CN"/>
        </w:rPr>
        <w:t>。</w:t>
      </w:r>
    </w:p>
    <w:p w14:paraId="7E26E0DD">
      <w:r>
        <w:rPr>
          <w:rFonts w:hint="eastAsia" w:ascii="Times New Roman" w:hAnsi="Times New Roman" w:cs="Times New Roman"/>
          <w:color w:val="auto"/>
          <w:highlight w:val="none"/>
          <w:lang w:val="en-US" w:eastAsia="zh-CN"/>
        </w:rPr>
        <w:t>在接收到委托后，四川和鉴检测技术有限公司于202</w:t>
      </w:r>
      <w:r>
        <w:rPr>
          <w:rFonts w:hint="eastAsia" w:cs="Times New Roman"/>
          <w:color w:val="auto"/>
          <w:highlight w:val="none"/>
          <w:lang w:val="en-US" w:eastAsia="zh-CN"/>
        </w:rPr>
        <w:t>4</w:t>
      </w:r>
      <w:r>
        <w:rPr>
          <w:rFonts w:hint="eastAsia" w:ascii="Times New Roman" w:hAnsi="Times New Roman" w:cs="Times New Roman"/>
          <w:color w:val="auto"/>
          <w:highlight w:val="none"/>
          <w:lang w:val="en-US" w:eastAsia="zh-CN"/>
        </w:rPr>
        <w:t>年</w:t>
      </w:r>
      <w:r>
        <w:rPr>
          <w:rFonts w:hint="eastAsia" w:cs="Times New Roman"/>
          <w:color w:val="auto"/>
          <w:highlight w:val="none"/>
          <w:lang w:val="en-US" w:eastAsia="zh-CN"/>
        </w:rPr>
        <w:t>2</w:t>
      </w:r>
      <w:r>
        <w:rPr>
          <w:rFonts w:hint="eastAsia" w:ascii="Times New Roman" w:hAnsi="Times New Roman" w:cs="Times New Roman"/>
          <w:color w:val="auto"/>
          <w:highlight w:val="none"/>
          <w:lang w:val="en-US" w:eastAsia="zh-CN"/>
        </w:rPr>
        <w:t>月组织人员对</w:t>
      </w:r>
      <w:r>
        <w:rPr>
          <w:rFonts w:hint="eastAsia" w:ascii="Times New Roman" w:hAnsi="Times New Roman" w:cs="Times New Roman"/>
          <w:color w:val="auto"/>
          <w:highlight w:val="none"/>
          <w:lang w:val="en-US" w:eastAsia="zh-CN"/>
        </w:rPr>
        <w:t>眉山天府新区</w:t>
      </w:r>
      <w:r>
        <w:rPr>
          <w:rFonts w:hint="eastAsia" w:ascii="Times New Roman" w:hAnsi="Times New Roman" w:cs="Times New Roman"/>
          <w:color w:val="auto"/>
          <w:lang w:val="en-US" w:eastAsia="zh-CN"/>
        </w:rPr>
        <w:t>2024（TR）-1号</w:t>
      </w:r>
      <w:r>
        <w:rPr>
          <w:rFonts w:hint="default" w:ascii="Times New Roman" w:hAnsi="Times New Roman" w:cs="Times New Roman"/>
          <w:color w:val="auto"/>
          <w:lang w:val="en-US" w:eastAsia="zh-CN"/>
        </w:rPr>
        <w:t>地块</w:t>
      </w:r>
      <w:r>
        <w:rPr>
          <w:rFonts w:hint="eastAsia" w:ascii="Times New Roman" w:hAnsi="Times New Roman" w:cs="Times New Roman"/>
          <w:color w:val="auto"/>
          <w:highlight w:val="none"/>
          <w:lang w:val="en-US" w:eastAsia="zh-CN"/>
        </w:rPr>
        <w:t>现场进行了现场踏勘，在对相关资料进行收集与分析，人员访谈与现场踏勘的基础上认为该地块不是疑似污染地块，依据《建设用地土壤污染状况调查技术导则》（HJ25.1-2019），若第一阶段调查确认地块内及周围区域当前和历史上均无可能的污染源，则认为地块的环境状况可以接受，调查活动可以结束。</w:t>
      </w:r>
    </w:p>
    <w:sectPr>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480"/>
      </w:pPr>
      <w:r>
        <w:separator/>
      </w:r>
    </w:p>
  </w:endnote>
  <w:endnote w:type="continuationSeparator" w:id="1">
    <w:p>
      <w:pPr>
        <w:spacing w:line="240" w:lineRule="auto"/>
        <w:ind w:firstLine="48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0D"/>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360" w:lineRule="auto"/>
        <w:ind w:firstLine="480"/>
      </w:pPr>
      <w:r>
        <w:separator/>
      </w:r>
    </w:p>
  </w:footnote>
  <w:footnote w:type="continuationSeparator" w:id="1">
    <w:p>
      <w:pPr>
        <w:spacing w:line="360" w:lineRule="auto"/>
        <w:ind w:firstLine="480"/>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U5ZjQ3MjBlNjgwMDZiYTk1NjRkMjY1ZmM2ZDNjY2IifQ=="/>
  </w:docVars>
  <w:rsids>
    <w:rsidRoot w:val="00000000"/>
    <w:rsid w:val="0890759C"/>
    <w:rsid w:val="17966389"/>
    <w:rsid w:val="1A4909A5"/>
    <w:rsid w:val="24305A06"/>
    <w:rsid w:val="2D463F99"/>
    <w:rsid w:val="486F7C14"/>
    <w:rsid w:val="4C76774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qFormat="1" w:unhideWhenUsed="0" w:uiPriority="39"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spacing w:line="360" w:lineRule="auto"/>
      <w:ind w:firstLine="720" w:firstLineChars="200"/>
      <w:jc w:val="left"/>
    </w:pPr>
    <w:rPr>
      <w:rFonts w:ascii="Times New Roman" w:hAnsi="Times New Roman" w:eastAsia="宋体" w:cs="黑体"/>
      <w:kern w:val="2"/>
      <w:sz w:val="24"/>
      <w:szCs w:val="22"/>
      <w:lang w:val="en-US" w:eastAsia="zh-CN" w:bidi="ar-SA"/>
    </w:rPr>
  </w:style>
  <w:style w:type="character" w:default="1" w:styleId="6">
    <w:name w:val="Default Paragraph Font"/>
    <w:autoRedefine/>
    <w:semiHidden/>
    <w:qFormat/>
    <w:uiPriority w:val="0"/>
  </w:style>
  <w:style w:type="table" w:default="1" w:styleId="5">
    <w:name w:val="Normal Table"/>
    <w:autoRedefine/>
    <w:semiHidden/>
    <w:qFormat/>
    <w:uiPriority w:val="0"/>
    <w:tblPr>
      <w:tblCellMar>
        <w:top w:w="0" w:type="dxa"/>
        <w:left w:w="108" w:type="dxa"/>
        <w:bottom w:w="0" w:type="dxa"/>
        <w:right w:w="108" w:type="dxa"/>
      </w:tblCellMar>
    </w:tblPr>
  </w:style>
  <w:style w:type="paragraph" w:styleId="2">
    <w:name w:val="Body Text First Indent 2"/>
    <w:basedOn w:val="3"/>
    <w:autoRedefine/>
    <w:qFormat/>
    <w:uiPriority w:val="0"/>
    <w:pPr>
      <w:adjustRightInd/>
      <w:spacing w:after="120" w:line="240" w:lineRule="auto"/>
      <w:ind w:left="420" w:leftChars="200" w:firstLine="420"/>
    </w:pPr>
    <w:rPr>
      <w:rFonts w:ascii="Calibri" w:hAnsi="Calibri"/>
      <w:sz w:val="20"/>
      <w:szCs w:val="24"/>
    </w:rPr>
  </w:style>
  <w:style w:type="paragraph" w:styleId="3">
    <w:name w:val="Body Text Indent"/>
    <w:basedOn w:val="1"/>
    <w:next w:val="4"/>
    <w:autoRedefine/>
    <w:qFormat/>
    <w:uiPriority w:val="0"/>
    <w:pPr>
      <w:spacing w:line="440" w:lineRule="exact"/>
      <w:ind w:firstLine="560"/>
    </w:pPr>
    <w:rPr>
      <w:rFonts w:ascii="宋体"/>
      <w:sz w:val="24"/>
    </w:rPr>
  </w:style>
  <w:style w:type="paragraph" w:styleId="4">
    <w:name w:val="toc 3"/>
    <w:basedOn w:val="1"/>
    <w:next w:val="1"/>
    <w:autoRedefine/>
    <w:qFormat/>
    <w:uiPriority w:val="39"/>
    <w:pPr>
      <w:ind w:left="0" w:leftChars="0" w:firstLine="720" w:firstLineChars="200"/>
    </w:pPr>
    <w:rPr>
      <w:rFonts w:ascii="Times New Roman" w:hAnsi="Times New Roman"/>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630</Words>
  <Characters>694</Characters>
  <Lines>0</Lines>
  <Paragraphs>0</Paragraphs>
  <TotalTime>2</TotalTime>
  <ScaleCrop>false</ScaleCrop>
  <LinksUpToDate>false</LinksUpToDate>
  <CharactersWithSpaces>694</CharactersWithSpaces>
  <Application>WPS Office_12.1.0.17133_F1E327BC-269C-435d-A152-05C5408002CA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2023-12-28T02:38:00Z</dcterms:created>
  <dc:creator>Administrator</dc:creator>
  <cp:lastModifiedBy>邹涛</cp:lastModifiedBy>
  <dcterms:modified xsi:type="dcterms:W3CDTF">2024-06-21T09:56:32Z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2052-12.1.0.17133</vt:lpwstr>
  </property>
  <property fmtid="{D5CDD505-2E9C-101B-9397-08002B2CF9AE}" pid="3" name="ICV">
    <vt:lpwstr>E1A00E516A8643C489496040DFCBCE89_12</vt:lpwstr>
  </property>
</Properties>
</file>